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9"/>
        <w:gridCol w:w="4819"/>
      </w:tblGrid>
      <w:tr>
        <w:tblPrEx>
          <w:shd w:val="clear" w:color="auto" w:fill="bdc0bf"/>
        </w:tblPrEx>
        <w:trPr>
          <w:trHeight w:val="541" w:hRule="atLeast"/>
          <w:tblHeader/>
        </w:trPr>
        <w:tc>
          <w:tcPr>
            <w:tcW w:type="dxa" w:w="963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919191" w:sz="2" w:space="0" w:shadow="0" w:frame="0"/>
              <w:right w:val="single" w:color="000000" w:sz="2" w:space="0" w:shadow="0" w:frame="0"/>
            </w:tcBorders>
            <w:shd w:val="clear" w:color="auto" w:fill="5e5e5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 Neue" w:hAnsi="Helvetica Neue"/>
                <w:outline w:val="0"/>
                <w:color w:val="feffff"/>
                <w:sz w:val="44"/>
                <w:szCs w:val="44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Financial Sovereignty </w:t>
            </w:r>
            <w:r>
              <w:rPr>
                <w:rFonts w:ascii="Helvetica Neue" w:hAnsi="Helvetica Neue" w:hint="default"/>
                <w:outline w:val="0"/>
                <w:color w:val="feffff"/>
                <w:sz w:val="44"/>
                <w:szCs w:val="44"/>
                <w:rtl w:val="0"/>
                <w14:textFill>
                  <w14:solidFill>
                    <w14:srgbClr w14:val="FFFFFF"/>
                  </w14:solidFill>
                </w14:textFill>
              </w:rPr>
              <w:t>– </w:t>
            </w:r>
            <w:r>
              <w:rPr>
                <w:rFonts w:ascii="Helvetica Neue" w:hAnsi="Helvetica Neue"/>
                <w:outline w:val="0"/>
                <w:color w:val="feffff"/>
                <w:sz w:val="44"/>
                <w:szCs w:val="44"/>
                <w:rtl w:val="0"/>
                <w14:textFill>
                  <w14:solidFill>
                    <w14:srgbClr w14:val="FFFFFF"/>
                  </w14:solidFill>
                </w14:textFill>
              </w:rPr>
              <w:t>Argentina &amp; Ecuador</w:t>
            </w:r>
          </w:p>
        </w:tc>
      </w:tr>
      <w:tr>
        <w:tblPrEx>
          <w:shd w:val="clear" w:color="auto" w:fill="bdc0bf"/>
        </w:tblPrEx>
        <w:trPr>
          <w:trHeight w:val="547" w:hRule="atLeast"/>
          <w:tblHeader/>
        </w:trPr>
        <w:tc>
          <w:tcPr>
            <w:tcW w:type="dxa" w:w="4819"/>
            <w:tcBorders>
              <w:top w:val="single" w:color="919191" w:sz="2" w:space="0" w:shadow="0" w:frame="0"/>
              <w:left w:val="single" w:color="919191" w:sz="2" w:space="0" w:shadow="0" w:frame="0"/>
              <w:bottom w:val="single" w:color="919191" w:sz="6" w:space="0" w:shadow="0" w:frame="0"/>
              <w:right w:val="single" w:color="91919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 Neue" w:hAnsi="Helvetica Neue"/>
                <w:sz w:val="44"/>
                <w:szCs w:val="44"/>
                <w:rtl w:val="0"/>
              </w:rPr>
              <w:t>Argentina</w:t>
            </w:r>
          </w:p>
        </w:tc>
        <w:tc>
          <w:tcPr>
            <w:tcW w:type="dxa" w:w="4819"/>
            <w:tcBorders>
              <w:top w:val="single" w:color="d5d5d5" w:sz="8" w:space="0" w:shadow="0" w:frame="0"/>
              <w:left w:val="single" w:color="919191" w:sz="8" w:space="0" w:shadow="0" w:frame="0"/>
              <w:bottom w:val="single" w:color="d5d5d5" w:sz="8" w:space="0" w:shadow="0" w:frame="0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 Neue" w:hAnsi="Helvetica Neue"/>
                <w:sz w:val="44"/>
                <w:szCs w:val="44"/>
                <w:rtl w:val="0"/>
              </w:rPr>
              <w:t>Ecuador</w:t>
            </w:r>
          </w:p>
        </w:tc>
      </w:tr>
      <w:tr>
        <w:tblPrEx>
          <w:shd w:val="clear" w:color="auto" w:fill="auto"/>
        </w:tblPrEx>
        <w:trPr>
          <w:trHeight w:val="8887" w:hRule="atLeast"/>
        </w:trPr>
        <w:tc>
          <w:tcPr>
            <w:tcW w:type="dxa" w:w="4819"/>
            <w:tcBorders>
              <w:top w:val="single" w:color="919191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after="240" w:line="264" w:lineRule="auto"/>
              <w:rPr>
                <w:sz w:val="30"/>
                <w:szCs w:val="30"/>
              </w:rPr>
            </w:pPr>
            <w:r>
              <w:rPr>
                <w:b w:val="1"/>
                <w:bCs w:val="1"/>
                <w:sz w:val="30"/>
                <w:szCs w:val="30"/>
                <w:rtl w:val="0"/>
                <w:lang w:val="en-US"/>
              </w:rPr>
              <w:t>A currency issuer:</w:t>
            </w:r>
            <w:r>
              <w:rPr>
                <w:sz w:val="30"/>
                <w:szCs w:val="30"/>
                <w:rtl w:val="0"/>
                <w:lang w:val="en-US"/>
              </w:rPr>
              <w:t xml:space="preserve"> was able to fund a Job guarantee programme - between 2002 and 2008 that helped 2 million Argentinian citizens into work.</w:t>
            </w:r>
          </w:p>
          <w:p>
            <w:pPr>
              <w:pStyle w:val="Table Style 2"/>
              <w:spacing w:after="240" w:line="26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</w:rPr>
              <w:t xml:space="preserve">• </w:t>
            </w:r>
            <w:r>
              <w:rPr>
                <w:sz w:val="30"/>
                <w:szCs w:val="30"/>
                <w:rtl w:val="0"/>
                <w:lang w:val="en-US"/>
              </w:rPr>
              <w:t>On the downside:</w:t>
            </w:r>
          </w:p>
          <w:p>
            <w:pPr>
              <w:pStyle w:val="Table Style 2"/>
              <w:spacing w:after="240" w:line="26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</w:rPr>
              <w:t>•</w:t>
            </w:r>
            <w:r>
              <w:rPr>
                <w:b w:val="1"/>
                <w:bCs w:val="1"/>
                <w:sz w:val="30"/>
                <w:szCs w:val="30"/>
                <w:rtl w:val="0"/>
                <w:lang w:val="pt-PT"/>
              </w:rPr>
              <w:t xml:space="preserve"> External debt:</w:t>
            </w:r>
            <w:r>
              <w:rPr>
                <w:sz w:val="30"/>
                <w:szCs w:val="30"/>
                <w:rtl w:val="0"/>
                <w:lang w:val="en-US"/>
              </w:rPr>
              <w:t xml:space="preserve"> "2019, owed about US$323 billion of federal sovereign debt to, among others, the International Monetary Fund (IMF)" 88% of the country's GDP.</w:t>
            </w:r>
          </w:p>
          <w:p>
            <w:pPr>
              <w:pStyle w:val="Table Style 2"/>
              <w:spacing w:after="240" w:line="26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</w:rPr>
              <w:t xml:space="preserve">• </w:t>
            </w:r>
            <w:r>
              <w:rPr>
                <w:sz w:val="30"/>
                <w:szCs w:val="30"/>
                <w:rtl w:val="0"/>
                <w:lang w:val="en-US"/>
              </w:rPr>
              <w:t>Defaulted on its debt nine times - including twice in the last 20 years. 2020</w:t>
            </w:r>
          </w:p>
          <w:p>
            <w:pPr>
              <w:pStyle w:val="Table Style 2"/>
              <w:spacing w:after="240" w:line="264" w:lineRule="auto"/>
            </w:pPr>
            <w:r>
              <w:rPr>
                <w:sz w:val="24"/>
                <w:szCs w:val="24"/>
                <w:rtl w:val="0"/>
                <w:lang w:val="en-US"/>
              </w:rPr>
              <w:t xml:space="preserve">Source: Latin Layer - </w:t>
            </w:r>
            <w:r>
              <w:rPr>
                <w:rStyle w:val="Hyperlink.0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sz w:val="24"/>
                <w:szCs w:val="24"/>
              </w:rPr>
              <w:instrText xml:space="preserve"> HYPERLINK "https://tinyurl.com/yc5as3h5"</w:instrText>
            </w:r>
            <w:r>
              <w:rPr>
                <w:rStyle w:val="Hyperlink.0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sz w:val="24"/>
                <w:szCs w:val="24"/>
                <w:rtl w:val="0"/>
                <w:lang w:val="en-US"/>
              </w:rPr>
              <w:t>https://tinyurl.com/yc5as3h5</w:t>
            </w:r>
            <w:r>
              <w:rPr>
                <w:sz w:val="24"/>
                <w:szCs w:val="24"/>
              </w:rPr>
              <w:fldChar w:fldCharType="end" w:fldLock="0"/>
            </w:r>
          </w:p>
        </w:tc>
        <w:tc>
          <w:tcPr>
            <w:tcW w:type="dxa" w:w="4819"/>
            <w:tcBorders>
              <w:top w:val="single" w:color="d5d5d5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after="240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  <w:lang w:val="en-US"/>
              </w:rPr>
              <w:t xml:space="preserve">As of September 2024, public </w:t>
            </w:r>
            <w:r>
              <w:rPr>
                <w:b w:val="1"/>
                <w:bCs w:val="1"/>
                <w:sz w:val="30"/>
                <w:szCs w:val="30"/>
                <w:rtl w:val="0"/>
                <w:lang w:val="en-US"/>
              </w:rPr>
              <w:t>debt of approx $58 billion</w:t>
            </w:r>
            <w:r>
              <w:rPr>
                <w:sz w:val="30"/>
                <w:szCs w:val="30"/>
                <w:rtl w:val="0"/>
              </w:rPr>
              <w:t>.</w:t>
            </w:r>
            <w:r>
              <w:rPr>
                <w:sz w:val="30"/>
                <w:szCs w:val="3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30"/>
                <w:szCs w:val="30"/>
                <w:rtl w:val="0"/>
                <w:lang w:val="en-US"/>
              </w:rPr>
              <w:t>206.57% of its GDP</w:t>
            </w:r>
            <w:r>
              <w:rPr>
                <w:sz w:val="30"/>
                <w:szCs w:val="30"/>
                <w:rtl w:val="0"/>
              </w:rPr>
              <w:t>.</w:t>
            </w:r>
          </w:p>
          <w:p>
            <w:pPr>
              <w:pStyle w:val="Table Style 2"/>
              <w:spacing w:after="240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</w:rPr>
              <w:t xml:space="preserve">• </w:t>
            </w:r>
            <w:r>
              <w:rPr>
                <w:b w:val="1"/>
                <w:bCs w:val="1"/>
                <w:sz w:val="30"/>
                <w:szCs w:val="30"/>
                <w:rtl w:val="0"/>
                <w:lang w:val="en-US"/>
              </w:rPr>
              <w:t>High levels of poverty</w:t>
            </w:r>
            <w:r>
              <w:rPr>
                <w:sz w:val="30"/>
                <w:szCs w:val="30"/>
                <w:rtl w:val="0"/>
                <w:lang w:val="en-US"/>
              </w:rPr>
              <w:t>, informal workforce with low qualifications.</w:t>
            </w:r>
          </w:p>
          <w:p>
            <w:pPr>
              <w:pStyle w:val="Table Style 2"/>
              <w:spacing w:after="240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</w:rPr>
              <w:t xml:space="preserve">• </w:t>
            </w:r>
            <w:r>
              <w:rPr>
                <w:b w:val="1"/>
                <w:bCs w:val="1"/>
                <w:sz w:val="30"/>
                <w:szCs w:val="30"/>
                <w:rtl w:val="0"/>
                <w:lang w:val="en-US"/>
              </w:rPr>
              <w:t>Dependent on oil exports</w:t>
            </w:r>
            <w:r>
              <w:rPr>
                <w:sz w:val="30"/>
                <w:szCs w:val="30"/>
                <w:rtl w:val="0"/>
                <w:lang w:val="en-US"/>
              </w:rPr>
              <w:t xml:space="preserve"> (price volatility, changes in global demand).</w:t>
            </w:r>
          </w:p>
          <w:p>
            <w:pPr>
              <w:pStyle w:val="Table Style 2"/>
              <w:spacing w:after="240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</w:rPr>
              <w:t xml:space="preserve">• </w:t>
            </w:r>
            <w:r>
              <w:rPr>
                <w:b w:val="1"/>
                <w:bCs w:val="1"/>
                <w:sz w:val="30"/>
                <w:szCs w:val="30"/>
                <w:rtl w:val="0"/>
                <w:lang w:val="en-US"/>
              </w:rPr>
              <w:t>Political instability</w:t>
            </w:r>
            <w:r>
              <w:rPr>
                <w:sz w:val="30"/>
                <w:szCs w:val="30"/>
                <w:rtl w:val="0"/>
              </w:rPr>
              <w:t>.</w:t>
            </w:r>
          </w:p>
          <w:p>
            <w:pPr>
              <w:pStyle w:val="Table Style 2"/>
              <w:spacing w:after="240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</w:rPr>
              <w:t xml:space="preserve">• </w:t>
            </w:r>
            <w:r>
              <w:rPr>
                <w:sz w:val="30"/>
                <w:szCs w:val="30"/>
                <w:rtl w:val="0"/>
                <w:lang w:val="pt-PT"/>
              </w:rPr>
              <w:t xml:space="preserve">A </w:t>
            </w:r>
            <w:r>
              <w:rPr>
                <w:b w:val="1"/>
                <w:bCs w:val="1"/>
                <w:sz w:val="30"/>
                <w:szCs w:val="30"/>
                <w:rtl w:val="0"/>
                <w:lang w:val="en-US"/>
              </w:rPr>
              <w:t>history of sovereign defaults</w:t>
            </w:r>
            <w:r>
              <w:rPr>
                <w:sz w:val="30"/>
                <w:szCs w:val="30"/>
                <w:rtl w:val="0"/>
                <w:lang w:val="en-US"/>
              </w:rPr>
              <w:t>: limited its access to international capital markets.</w:t>
            </w:r>
          </w:p>
          <w:p>
            <w:pPr>
              <w:pStyle w:val="Table Style 2"/>
              <w:spacing w:after="240"/>
              <w:rPr>
                <w:sz w:val="30"/>
                <w:szCs w:val="30"/>
              </w:rPr>
            </w:pPr>
            <w:r>
              <w:rPr>
                <w:sz w:val="30"/>
                <w:szCs w:val="30"/>
                <w:rtl w:val="0"/>
              </w:rPr>
              <w:t xml:space="preserve">• </w:t>
            </w:r>
            <w:r>
              <w:rPr>
                <w:b w:val="1"/>
                <w:bCs w:val="1"/>
                <w:sz w:val="30"/>
                <w:szCs w:val="30"/>
                <w:rtl w:val="0"/>
                <w:lang w:val="en-US"/>
              </w:rPr>
              <w:t>Widespread corruption.</w:t>
            </w:r>
          </w:p>
          <w:p>
            <w:pPr>
              <w:pStyle w:val="Table Style 2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Sources</w:t>
            </w:r>
          </w:p>
          <w:p>
            <w:pPr>
              <w:pStyle w:val="Table Style 2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Ceicdata: </w:t>
            </w:r>
            <w:r>
              <w:rPr>
                <w:rStyle w:val="Hyperlink.0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sz w:val="24"/>
                <w:szCs w:val="24"/>
              </w:rPr>
              <w:instrText xml:space="preserve"> HYPERLINK "https://www.ceicdata.com/en/indicator/ecuador/government-debt--of-nominal-"</w:instrText>
            </w:r>
            <w:r>
              <w:rPr>
                <w:rStyle w:val="Hyperlink.0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sz w:val="24"/>
                <w:szCs w:val="24"/>
                <w:rtl w:val="0"/>
                <w:lang w:val="en-US"/>
              </w:rPr>
              <w:t>https://www.ceicdata.com/en/indicator/ecuador/government-debt--of-nominal-</w:t>
            </w:r>
            <w:r>
              <w:rPr>
                <w:sz w:val="24"/>
                <w:szCs w:val="24"/>
              </w:rPr>
              <w:fldChar w:fldCharType="end" w:fldLock="0"/>
            </w:r>
          </w:p>
          <w:p>
            <w:pPr>
              <w:pStyle w:val="Table Style 2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gdp</w:t>
            </w:r>
          </w:p>
          <w:p>
            <w:pPr>
              <w:pStyle w:val="Table Style 2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IMF: </w:t>
            </w:r>
            <w:r>
              <w:rPr>
                <w:rStyle w:val="Hyperlink.0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sz w:val="24"/>
                <w:szCs w:val="24"/>
              </w:rPr>
              <w:instrText xml:space="preserve"> HYPERLINK "https://www.finanzas.gob.ec/wp-content/uploads/downloads/"</w:instrText>
            </w:r>
            <w:r>
              <w:rPr>
                <w:rStyle w:val="Hyperlink.0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sz w:val="24"/>
                <w:szCs w:val="24"/>
                <w:rtl w:val="0"/>
                <w:lang w:val="en-US"/>
              </w:rPr>
              <w:t>https://www.finanzas.gob.ec/wp-content/uploads/downloads/</w:t>
            </w:r>
            <w:r>
              <w:rPr>
                <w:sz w:val="24"/>
                <w:szCs w:val="24"/>
              </w:rPr>
              <w:fldChar w:fldCharType="end" w:fldLock="0"/>
            </w:r>
          </w:p>
          <w:p>
            <w:pPr>
              <w:pStyle w:val="Table Style 2"/>
              <w:spacing w:after="240"/>
            </w:pPr>
            <w:r>
              <w:rPr>
                <w:sz w:val="24"/>
                <w:szCs w:val="24"/>
                <w:rtl w:val="0"/>
              </w:rPr>
              <w:t>2019/12/1ECUEA2019005.pdf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