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382" w:hRule="atLeast"/>
          <w:tblHeader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 xml:space="preserve">Scotland A Case Study: Food Sovereignty Or Not? </w:t>
            </w:r>
          </w:p>
        </w:tc>
      </w:tr>
      <w:tr>
        <w:tblPrEx>
          <w:shd w:val="clear" w:color="auto" w:fill="auto"/>
        </w:tblPrEx>
        <w:trPr>
          <w:trHeight w:val="963" w:hRule="atLeast"/>
        </w:trPr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Scotland</w:t>
            </w:r>
            <w:r>
              <w:rPr>
                <w:rFonts w:ascii="Helvetica Neue" w:hAnsi="Helvetica Neue" w:hint="default"/>
                <w:b w:val="1"/>
                <w:bCs w:val="1"/>
                <w:sz w:val="26"/>
                <w:szCs w:val="26"/>
                <w:rtl w:val="0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s Resources (Statistics From Believe in Scotland)</w:t>
            </w:r>
          </w:p>
        </w:tc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Sovereignty Issues (Issues highlighted by Mike Small - author of Scotland</w:t>
            </w:r>
            <w:r>
              <w:rPr>
                <w:rFonts w:ascii="Helvetica Neue" w:hAnsi="Helvetica Neue" w:hint="default"/>
                <w:b w:val="1"/>
                <w:bCs w:val="1"/>
                <w:sz w:val="26"/>
                <w:szCs w:val="26"/>
                <w:rtl w:val="0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s Local Food Revolution)</w:t>
            </w:r>
          </w:p>
        </w:tc>
      </w:tr>
      <w:tr>
        <w:tblPrEx>
          <w:shd w:val="clear" w:color="auto" w:fill="auto"/>
        </w:tblPrEx>
        <w:trPr>
          <w:trHeight w:val="33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20% of the EU</w:t>
            </w:r>
            <w:r>
              <w:rPr>
                <w:rFonts w:ascii="Helvetica Neue" w:hAnsi="Helvetica Neue" w:hint="default"/>
                <w:sz w:val="30"/>
                <w:szCs w:val="30"/>
                <w:rtl w:val="0"/>
              </w:rPr>
              <w:t>’</w:t>
            </w:r>
            <w:r>
              <w:rPr>
                <w:rFonts w:ascii="Helvetica Neue" w:hAnsi="Helvetica Neue"/>
                <w:sz w:val="30"/>
                <w:szCs w:val="30"/>
                <w:rtl w:val="0"/>
              </w:rPr>
              <w:t>s fish.</w:t>
            </w:r>
          </w:p>
        </w:tc>
        <w:tc>
          <w:tcPr>
            <w:tcW w:type="dxa" w:w="4815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after="240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Concentrated land ownership (the most concentrated in Europe): hunting/shooting.</w:t>
            </w:r>
          </w:p>
          <w:p>
            <w:pPr>
              <w:pStyle w:val="Table Style 2"/>
              <w:spacing w:after="240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4 big industrial supermarket chains control Scotland</w:t>
            </w:r>
            <w:r>
              <w:rPr>
                <w:rFonts w:ascii="Helvetica Neue" w:hAnsi="Helvetica Neue" w:hint="default"/>
                <w:sz w:val="30"/>
                <w:szCs w:val="30"/>
                <w:rtl w:val="0"/>
              </w:rPr>
              <w:t>’</w:t>
            </w:r>
            <w:r>
              <w:rPr>
                <w:rFonts w:ascii="Helvetica Neue" w:hAnsi="Helvetica Neue"/>
                <w:sz w:val="30"/>
                <w:szCs w:val="30"/>
                <w:rtl w:val="0"/>
              </w:rPr>
              <w:t xml:space="preserve">s food network. </w:t>
            </w:r>
          </w:p>
          <w:p>
            <w:pPr>
              <w:pStyle w:val="Table Style 2"/>
              <w:spacing w:after="240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 xml:space="preserve">A dominance of monocrops selling into industrial supermarket chains (reduced biodiversity, soil depletion): . </w:t>
            </w:r>
          </w:p>
          <w:p>
            <w:pPr>
              <w:pStyle w:val="Table Style 2"/>
              <w:spacing w:after="240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Carbon inefficient food practice: lack of local control/local food production and consumption.</w:t>
            </w:r>
          </w:p>
        </w:tc>
      </w:tr>
      <w:tr>
        <w:tblPrEx>
          <w:shd w:val="clear" w:color="auto" w:fill="auto"/>
        </w:tblPrEx>
        <w:trPr>
          <w:trHeight w:val="6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63% of UK total exports in the fish and seafood sector.</w:t>
            </w:r>
          </w:p>
        </w:tc>
        <w:tc>
          <w:tcPr>
            <w:tcW w:type="dxa" w:w="48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</w:tcPr>
          <w:p/>
        </w:tc>
      </w:tr>
      <w:tr>
        <w:tblPrEx>
          <w:shd w:val="clear" w:color="auto" w:fill="auto"/>
        </w:tblPrEx>
        <w:trPr>
          <w:trHeight w:val="6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25% of total UK food and drink exports.</w:t>
            </w:r>
          </w:p>
        </w:tc>
        <w:tc>
          <w:tcPr>
            <w:tcW w:type="dxa" w:w="48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</w:tcPr>
          <w:p/>
        </w:tc>
      </w:tr>
      <w:tr>
        <w:tblPrEx>
          <w:shd w:val="clear" w:color="auto" w:fill="auto"/>
        </w:tblPrEx>
        <w:trPr>
          <w:trHeight w:val="6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30% of the UK</w:t>
            </w:r>
            <w:r>
              <w:rPr>
                <w:rFonts w:ascii="Helvetica Neue" w:hAnsi="Helvetica Neue" w:hint="default"/>
                <w:sz w:val="30"/>
                <w:szCs w:val="30"/>
                <w:rtl w:val="0"/>
              </w:rPr>
              <w:t>’</w:t>
            </w:r>
            <w:r>
              <w:rPr>
                <w:rFonts w:ascii="Helvetica Neue" w:hAnsi="Helvetica Neue"/>
                <w:sz w:val="30"/>
                <w:szCs w:val="30"/>
                <w:rtl w:val="0"/>
              </w:rPr>
              <w:t>s herd of breeding cattle.</w:t>
            </w:r>
          </w:p>
        </w:tc>
        <w:tc>
          <w:tcPr>
            <w:tcW w:type="dxa" w:w="48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</w:tcPr>
          <w:p/>
        </w:tc>
      </w:tr>
      <w:tr>
        <w:tblPrEx>
          <w:shd w:val="clear" w:color="auto" w:fill="auto"/>
        </w:tblPrEx>
        <w:trPr>
          <w:trHeight w:val="33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20% of the UK</w:t>
            </w:r>
            <w:r>
              <w:rPr>
                <w:rFonts w:ascii="Helvetica Neue" w:hAnsi="Helvetica Neue" w:hint="default"/>
                <w:sz w:val="30"/>
                <w:szCs w:val="30"/>
                <w:rtl w:val="0"/>
              </w:rPr>
              <w:t>’</w:t>
            </w:r>
            <w:r>
              <w:rPr>
                <w:rFonts w:ascii="Helvetica Neue" w:hAnsi="Helvetica Neue"/>
                <w:sz w:val="30"/>
                <w:szCs w:val="30"/>
                <w:rtl w:val="0"/>
              </w:rPr>
              <w:t>s sheep (2021)</w:t>
            </w:r>
          </w:p>
        </w:tc>
        <w:tc>
          <w:tcPr>
            <w:tcW w:type="dxa" w:w="48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</w:tcPr>
          <w:p/>
        </w:tc>
      </w:tr>
      <w:tr>
        <w:tblPrEx>
          <w:shd w:val="clear" w:color="auto" w:fill="auto"/>
        </w:tblPrEx>
        <w:trPr>
          <w:trHeight w:val="10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30% of total UK food and drink exports come from Scotland (2021).</w:t>
            </w:r>
          </w:p>
        </w:tc>
        <w:tc>
          <w:tcPr>
            <w:tcW w:type="dxa" w:w="48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</w:tcPr>
          <w:p/>
        </w:tc>
      </w:tr>
      <w:tr>
        <w:tblPrEx>
          <w:shd w:val="clear" w:color="auto" w:fill="auto"/>
        </w:tblPrEx>
        <w:trPr>
          <w:trHeight w:val="10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sz w:val="30"/>
                <w:szCs w:val="30"/>
                <w:rtl w:val="0"/>
              </w:rPr>
              <w:t>In 2022, Scotch Whisky made up 77% of all Scottish food and drink exports (2022).</w:t>
            </w:r>
          </w:p>
        </w:tc>
        <w:tc>
          <w:tcPr>
            <w:tcW w:type="dxa" w:w="4815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  <w:lang w:val="en-US"/>
              </w:rPr>
              <w:t xml:space="preserve">Source: </w:t>
            </w:r>
            <w:r>
              <w:rPr>
                <w:rtl w:val="0"/>
                <w:lang w:val="en-US"/>
              </w:rPr>
              <w:t xml:space="preserve">Believe in Scotland: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"https://www.believeinscotland.org"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https://www.believeinscotland.org</w:t>
            </w:r>
            <w:r>
              <w:rPr/>
              <w:fldChar w:fldCharType="end" w:fldLock="0"/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tl w:val="0"/>
                <w:lang w:val="en-US"/>
              </w:rPr>
              <w:t xml:space="preserve">Source: </w:t>
            </w:r>
            <w:r>
              <w:rPr>
                <w:rtl w:val="0"/>
                <w:lang w:val="en-US"/>
              </w:rPr>
              <w:t xml:space="preserve">Mike Small: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"https://www.linkedin.com/in/mike-small-9607639/"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https://www.linkedin.com/in/mike-small-9607639/</w:t>
            </w:r>
            <w:r>
              <w:rPr/>
              <w:fldChar w:fldCharType="end" w:fldLock="0"/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