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bdc0bf"/>
        </w:tblPrEx>
        <w:trPr>
          <w:trHeight w:val="534" w:hRule="atLeast"/>
          <w:tblHeader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5e5e5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60"/>
            </w:pPr>
            <w:r>
              <w:rPr>
                <w:rFonts w:ascii="Helvetica Neue" w:hAnsi="Helvetica Neue"/>
                <w:outline w:val="0"/>
                <w:color w:val="feffff"/>
                <w:sz w:val="44"/>
                <w:szCs w:val="44"/>
                <w:rtl w:val="0"/>
                <w14:textFill>
                  <w14:solidFill>
                    <w14:srgbClr w14:val="FFFFFF"/>
                  </w14:solidFill>
                </w14:textFill>
              </w:rPr>
              <w:t>Financial Sovereignty - A Spectrum</w:t>
            </w:r>
          </w:p>
        </w:tc>
      </w:tr>
      <w:tr>
        <w:tblPrEx>
          <w:shd w:val="clear" w:color="auto" w:fill="bdc0bf"/>
        </w:tblPrEx>
        <w:trPr>
          <w:trHeight w:val="683" w:hRule="atLeast"/>
          <w:tblHeader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Financial Sovereignty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US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Argentina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Ecuador</w:t>
            </w:r>
          </w:p>
        </w:tc>
      </w:tr>
      <w:tr>
        <w:tblPrEx>
          <w:shd w:val="clear" w:color="auto" w:fill="auto"/>
        </w:tblPrEx>
        <w:trPr>
          <w:trHeight w:val="1703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Do they issue their own currency and collects  taxes in that currency.</w:t>
            </w:r>
          </w:p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</w:t>
            </w:r>
          </w:p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</w:t>
            </w:r>
          </w:p>
          <w:p>
            <w:pPr>
              <w:pStyle w:val="Default"/>
              <w:spacing w:before="0" w:line="240" w:lineRule="auto"/>
            </w:pPr>
          </w:p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No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Do they borrow in a foreign currency?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No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(2019: owed US$323 billion of federal sovereign debt. 88% of the country's</w:t>
            </w:r>
          </w:p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GDP)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</w:t>
            </w:r>
          </w:p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(2024: external debt was $59.7 billion.</w:t>
            </w:r>
          </w:p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206.57% of its GDP)</w:t>
            </w:r>
          </w:p>
        </w:tc>
      </w:tr>
      <w:tr>
        <w:tblPrEx>
          <w:shd w:val="clear" w:color="auto" w:fill="auto"/>
        </w:tblPrEx>
        <w:trPr>
          <w:trHeight w:val="169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Do they peg their currency to another currency or commodity?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No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Yes (it has a 'crawling peg')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It has no currency to peg, it uses the US dollar.</w:t>
            </w:r>
          </w:p>
        </w:tc>
      </w:tr>
      <w:tr>
        <w:tblPrEx>
          <w:shd w:val="clear" w:color="auto" w:fill="auto"/>
        </w:tblPrEx>
        <w:trPr>
          <w:trHeight w:val="51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What ability do they have to manage fiscal and monetary policies and respond to crisis?</w:t>
            </w:r>
          </w:p>
          <w:p>
            <w:pPr>
              <w:pStyle w:val="Default"/>
              <w:spacing w:before="0" w:line="240" w:lineRule="auto"/>
            </w:pP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Full monetary &amp; financial sovereignty; control over monetary and fiscal policies; little or no foreign currency debt; no dependence on foreign currency reserves to service debt or import essentials.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>Limited monetary sovereignty; dependence on foreign currency reserves &amp; external debt obligations; restricted monetary policy options; vulnerable to inflation, currency crises and external financial pressures.</w:t>
            </w:r>
          </w:p>
          <w:p>
            <w:pPr>
              <w:pStyle w:val="Default"/>
              <w:spacing w:before="0" w:line="240" w:lineRule="auto"/>
            </w:pP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Helvetica Neue" w:hAnsi="Helvetica Neue"/>
                <w:sz w:val="28"/>
                <w:szCs w:val="28"/>
                <w:rtl w:val="0"/>
              </w:rPr>
              <w:t xml:space="preserve">No monetary sovereignty; no control over monetary policy; reliant on external capital; vulnerable to global economic conditions and limited ability to respond to crisis. </w:t>
            </w:r>
          </w:p>
        </w:tc>
      </w:tr>
      <w:tr>
        <w:tblPrEx>
          <w:shd w:val="clear" w:color="auto" w:fill="auto"/>
        </w:tblPrEx>
        <w:trPr>
          <w:trHeight w:val="803" w:hRule="atLeast"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The term "crawling peg" refers to a gradual, controlled adjustment of a country's fixed exchange rate. Instead of maintaining a constant fixed rate, the central bank allows the exchange rate to change incrementally over time. Argentina debt source: </w:t>
            </w:r>
            <w:r>
              <w:rPr>
                <w:rStyle w:val="Hyperlink.0"/>
                <w:sz w:val="16"/>
                <w:szCs w:val="16"/>
              </w:rPr>
              <w:fldChar w:fldCharType="begin" w:fldLock="0"/>
            </w:r>
            <w:r>
              <w:rPr>
                <w:rStyle w:val="Hyperlink.0"/>
                <w:sz w:val="16"/>
                <w:szCs w:val="16"/>
              </w:rPr>
              <w:instrText xml:space="preserve"> HYPERLINK "https://www.ceicdata.com/en/indicator/argentina/external-debt--of-"</w:instrText>
            </w:r>
            <w:r>
              <w:rPr>
                <w:rStyle w:val="Hyperlink.0"/>
                <w:sz w:val="16"/>
                <w:szCs w:val="16"/>
              </w:rPr>
              <w:fldChar w:fldCharType="separate" w:fldLock="0"/>
            </w:r>
            <w:r>
              <w:rPr>
                <w:rStyle w:val="Hyperlink.0"/>
                <w:sz w:val="16"/>
                <w:szCs w:val="16"/>
                <w:rtl w:val="0"/>
                <w:lang w:val="en-US"/>
              </w:rPr>
              <w:t>https://www.ceicdata.com/en/indicator/argentina/external-debt--of-</w:t>
            </w:r>
            <w:r>
              <w:rPr>
                <w:sz w:val="16"/>
                <w:szCs w:val="16"/>
              </w:rPr>
              <w:fldChar w:fldCharType="end" w:fldLock="0"/>
            </w:r>
          </w:p>
          <w:p>
            <w:pPr>
              <w:pStyle w:val="Table Style 2"/>
            </w:pPr>
            <w:r>
              <w:rPr>
                <w:sz w:val="16"/>
                <w:szCs w:val="16"/>
                <w:rtl w:val="0"/>
              </w:rPr>
              <w:t>nominal-gdp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